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新宋体" w:hAnsi="新宋体" w:eastAsia="新宋体"/>
          <w:b/>
          <w:sz w:val="32"/>
        </w:rPr>
      </w:pPr>
    </w:p>
    <w:p>
      <w:pPr>
        <w:spacing w:line="560" w:lineRule="exact"/>
        <w:rPr>
          <w:rFonts w:hint="eastAsia" w:ascii="新宋体" w:hAnsi="新宋体" w:eastAsia="新宋体"/>
          <w:b/>
          <w:sz w:val="32"/>
        </w:rPr>
      </w:pPr>
    </w:p>
    <w:p>
      <w:pPr>
        <w:spacing w:line="560" w:lineRule="exact"/>
        <w:rPr>
          <w:rFonts w:hint="eastAsia" w:ascii="新宋体" w:hAnsi="新宋体" w:eastAsia="新宋体"/>
          <w:b/>
          <w:sz w:val="32"/>
        </w:rPr>
      </w:pPr>
    </w:p>
    <w:p>
      <w:pPr>
        <w:spacing w:line="560" w:lineRule="exact"/>
        <w:rPr>
          <w:rFonts w:hint="eastAsia" w:ascii="新宋体" w:hAnsi="新宋体" w:eastAsia="新宋体"/>
          <w:b/>
          <w:sz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</w:rPr>
        <w:t>沁政办〔201</w:t>
      </w: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/>
          <w:sz w:val="32"/>
        </w:rPr>
        <w:t>〕</w:t>
      </w: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166</w:t>
      </w:r>
      <w:r>
        <w:rPr>
          <w:rFonts w:hint="default" w:ascii="Times New Roman" w:hAnsi="Times New Roman" w:eastAsia="仿宋_GB2312" w:cs="Times New Roman"/>
          <w:b w:val="0"/>
          <w:bCs/>
          <w:sz w:val="32"/>
        </w:rPr>
        <w:t>号</w:t>
      </w:r>
    </w:p>
    <w:p>
      <w:pPr>
        <w:spacing w:line="560" w:lineRule="exact"/>
        <w:rPr>
          <w:rFonts w:hint="eastAsia" w:ascii="新宋体" w:hAnsi="新宋体" w:eastAsia="新宋体"/>
          <w:b/>
          <w:sz w:val="36"/>
        </w:rPr>
      </w:pPr>
    </w:p>
    <w:p>
      <w:pPr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玛沁县人民政府办公室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印发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《玛沁县电子商务进农村综合示范县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建设项目联席会议制度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》的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通知</w:t>
      </w:r>
    </w:p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各乡镇人民政府、县政府各部门并省州驻县各单位：</w:t>
      </w:r>
    </w:p>
    <w:p>
      <w:pPr>
        <w:spacing w:line="560" w:lineRule="exac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《</w:t>
      </w:r>
      <w:bookmarkStart w:id="0" w:name="_GoBack"/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玛沁县电子商务进农村综合示范县建设项目联席会议制度</w:t>
      </w:r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已经县政府同意，现印发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给你们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，请认真组织实施。</w:t>
      </w:r>
    </w:p>
    <w:p>
      <w:pPr>
        <w:spacing w:line="560" w:lineRule="exact"/>
        <w:ind w:firstLine="58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58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585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2017年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>
      <w:pPr>
        <w:spacing w:line="560" w:lineRule="exact"/>
        <w:ind w:firstLine="585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585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autoSpaceDE w:val="0"/>
        <w:spacing w:line="560" w:lineRule="exact"/>
        <w:ind w:right="480"/>
        <w:rPr>
          <w:rFonts w:hint="default" w:ascii="Times New Roman" w:hAnsi="Times New Roman" w:eastAsia="仿宋_GB2312" w:cs="Times New Roman"/>
          <w:b/>
          <w:bCs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46355</wp:posOffset>
                </wp:positionV>
                <wp:extent cx="5624195" cy="4445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195" cy="444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2.7pt;margin-top:3.65pt;height:0.35pt;width:442.85pt;z-index:251658240;mso-width-relative:page;mso-height-relative:page;" filled="f" stroked="t" coordsize="21600,21600" o:gfxdata="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vYsG9EAAAAFAQAADwAAAAAA&#10;AAABACAAAAAiAAAAZHJzL2Rvd25yZXYueG1sUEsBAhQAFAAAAAgAh07iQKdhBeXhAQAApwMAAA4A&#10;AAAAAAAAAQAgAAAAIAEAAGRycy9lMm9Eb2MueG1sUEsFBgAAAAAGAAYAWQEAAHM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抄报：州委，州政府，县委。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</w:p>
    <w:p>
      <w:pPr>
        <w:pStyle w:val="5"/>
        <w:widowControl w:val="0"/>
        <w:autoSpaceDE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44450</wp:posOffset>
                </wp:positionV>
                <wp:extent cx="5629275" cy="3175"/>
                <wp:effectExtent l="0" t="0" r="0" b="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317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0.8pt;margin-top:3.5pt;height:0.25pt;width:443.25pt;z-index:251659264;mso-width-relative:page;mso-height-relative:page;" filled="f" stroked="t" coordsize="21600,21600" o:gfxdata="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bXbSHPAAAABQEAAA8AAAAAAAAA&#10;AQAgAAAAIgAAAGRycy9kb3ducmV2LnhtbFBLAQIUABQAAAAIAIdO4kAC2PN34QEAAKcDAAAOAAAA&#10;AAAAAAEAIAAAAB4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337185</wp:posOffset>
                </wp:positionV>
                <wp:extent cx="5631180" cy="5715"/>
                <wp:effectExtent l="0" t="0" r="0" b="0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1180" cy="571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1.4pt;margin-top:26.55pt;height:0.45pt;width:443.4pt;z-index:251660288;mso-width-relative:page;mso-height-relative:page;" filled="f" stroked="t" coordsize="21600,21600" o:gfxdata="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YrXANQAAAAHAQAADwAA&#10;AAAAAAABACAAAAAiAAAAZHJzL2Rvd25yZXYueG1sUEsBAhQAFAAAAAgAh07iQClIi0rhAQAApwMA&#10;AA4AAAAAAAAAAQAgAAAAIwEAAGRycy9lMm9Eb2MueG1sUEsFBgAAAAAGAAYAWQEAAHY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玛沁县人民政府办公室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2017年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玛沁县电子商务进农村综合示范县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建设项目联席会议制度</w:t>
      </w:r>
    </w:p>
    <w:p>
      <w:pPr>
        <w:spacing w:line="580" w:lineRule="exact"/>
        <w:jc w:val="center"/>
        <w:rPr>
          <w:rFonts w:ascii="宋体" w:hAnsi="宋体" w:cs="仿宋"/>
          <w:b/>
          <w:sz w:val="36"/>
          <w:szCs w:val="36"/>
        </w:rPr>
      </w:pP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为加快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推进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玛沁县电子商务进农村综合示范县建设项目的整体进度，完善政企沟通和部门协作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机制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，根据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玛沁县电子商务进农村综合示范县建设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项目的实际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特制定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本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联席会议制度。</w:t>
      </w:r>
    </w:p>
    <w:p>
      <w:pPr>
        <w:overflowPunct w:val="0"/>
        <w:spacing w:line="60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一、联席会议职能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联席会议在玛沁县人民政府领导下，贯彻落实国家商务部、省商务厅、县政府有关电子商务进农村综合示范县建设的相关要求，及时掌握电商示范县建设的实际情况，分析项目建设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存在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的问题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统筹研究、解决项目建设遇到的困难，指导和监督项目整体建设，推动项目顺利实施并产生效益。</w:t>
      </w:r>
    </w:p>
    <w:p>
      <w:pPr>
        <w:overflowPunct w:val="0"/>
        <w:spacing w:line="60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二、联席会议成员组成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联席会议成员单位包括：县电子商务进农村综合示范县建设工作领导小组、县发展改革和经济商务局、县电商办、实施企业。县政府分管领导担任联席会议负责人，各成员单位有关负责同志为联席会议成员，负责工作协调和信息沟通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县发展改革和经济商务局为联席会议具体牵头单位。联席会议可根据工作需要，邀请其他相关部门参加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会议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overflowPunct w:val="0"/>
        <w:spacing w:line="60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三、联席会议工作规则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联席会议根据项目进度和需要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由联席会议牵头单位召集各成员单位参加。成员单位负责同志因故不能出席的，需在会议前向召集人请假，并委托其他负责同志出席。会议结束后，以会议纪要形式明确会议确定事项（由牵头单位负责），印发联席会议成员单位，并抄报县政府。各成员单位应按照部门职能，分工负责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推动工作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overflowPunct w:val="0"/>
        <w:spacing w:line="60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四、联席会议工作要求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各成员单位要按时参加会议，主动研究解决涉及本单位职责范围的相关问题，并与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其他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成员单位互通信息、相互配合、相互支持，形成合力。联席会议成员单位或列席会议的单位，应认真贯彻和执行联席会议确定事项，如有不同意见，允许保留，但在重新做出决定或议定前应当先行执行。</w:t>
      </w:r>
    </w:p>
    <w:p>
      <w:pPr>
        <w:spacing w:line="600" w:lineRule="exact"/>
        <w:ind w:firstLine="643"/>
        <w:rPr>
          <w:rFonts w:ascii="Times New Roman" w:hAnsi="Times New Roman" w:cs="Times New Roman"/>
          <w:sz w:val="32"/>
          <w:szCs w:val="32"/>
        </w:rPr>
      </w:pPr>
    </w:p>
    <w:p>
      <w:pPr>
        <w:pStyle w:val="5"/>
        <w:widowControl w:val="0"/>
        <w:autoSpaceDE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细黑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活意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胖头鱼简体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胖娃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D697F"/>
    <w:rsid w:val="032D69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  <w:spacing w:line="578" w:lineRule="atLeast"/>
      <w:textAlignment w:val="baseline"/>
    </w:pPr>
    <w:rPr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2018-02-12T02:03:00Z</dcterms:created>
  <dc:creator>lenovo</dc:creator>
  <cp:lastModifiedBy>lenovo</cp:lastModifiedBy>
  <cp:lastPrinted>2018-02-12T02:10:38Z</cp:lastPrinted>
  <dcterms:modified xsi:type="dcterms:W3CDTF">2018-02-12T02:13:45Z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